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B17" w:rsidRDefault="00DE0B17">
      <w:pPr>
        <w:rPr>
          <w:rFonts w:ascii="Verdana" w:hAnsi="Verdana"/>
          <w:sz w:val="24"/>
          <w:szCs w:val="24"/>
        </w:rPr>
      </w:pPr>
      <w:r>
        <w:rPr>
          <w:rFonts w:ascii="Verdana" w:hAnsi="Verdana"/>
          <w:noProof/>
          <w:sz w:val="24"/>
          <w:szCs w:val="24"/>
          <w:lang w:eastAsia="it-IT"/>
        </w:rPr>
        <w:drawing>
          <wp:inline distT="0" distB="0" distL="0" distR="0">
            <wp:extent cx="1658112" cy="55473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FINDUSTRIA FVG -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8112" cy="554736"/>
                    </a:xfrm>
                    <a:prstGeom prst="rect">
                      <a:avLst/>
                    </a:prstGeom>
                  </pic:spPr>
                </pic:pic>
              </a:graphicData>
            </a:graphic>
          </wp:inline>
        </w:drawing>
      </w:r>
    </w:p>
    <w:p w:rsidR="0075323F" w:rsidRDefault="0075323F">
      <w:pPr>
        <w:rPr>
          <w:rFonts w:ascii="Verdana" w:hAnsi="Verdana"/>
          <w:sz w:val="24"/>
          <w:szCs w:val="24"/>
        </w:rPr>
      </w:pPr>
    </w:p>
    <w:p w:rsidR="001A49D4" w:rsidRPr="001A49D4" w:rsidRDefault="001A49D4" w:rsidP="001A49D4">
      <w:pPr>
        <w:jc w:val="both"/>
        <w:rPr>
          <w:rFonts w:ascii="Lucida Console" w:hAnsi="Lucida Console"/>
          <w:b/>
          <w:sz w:val="24"/>
          <w:szCs w:val="24"/>
          <w:u w:val="single"/>
        </w:rPr>
      </w:pPr>
    </w:p>
    <w:p w:rsidR="001A49D4" w:rsidRPr="007A501A" w:rsidRDefault="001A49D4" w:rsidP="001A49D4">
      <w:pPr>
        <w:pStyle w:val="Paragrafoelenco"/>
        <w:numPr>
          <w:ilvl w:val="0"/>
          <w:numId w:val="1"/>
        </w:numPr>
        <w:jc w:val="center"/>
        <w:rPr>
          <w:rFonts w:ascii="Arial" w:hAnsi="Arial" w:cs="Arial"/>
          <w:b/>
          <w:sz w:val="24"/>
          <w:szCs w:val="24"/>
        </w:rPr>
      </w:pPr>
      <w:r w:rsidRPr="007A501A">
        <w:rPr>
          <w:rFonts w:ascii="Arial" w:hAnsi="Arial" w:cs="Arial"/>
          <w:b/>
          <w:sz w:val="24"/>
          <w:szCs w:val="24"/>
          <w:u w:val="single"/>
        </w:rPr>
        <w:t>L’indagine congiunturale regionale – Commento di sintesi</w:t>
      </w:r>
    </w:p>
    <w:p w:rsidR="001A49D4" w:rsidRPr="007A501A" w:rsidRDefault="001A49D4" w:rsidP="001A49D4">
      <w:pPr>
        <w:jc w:val="center"/>
        <w:rPr>
          <w:rFonts w:ascii="Arial" w:hAnsi="Arial" w:cs="Arial"/>
        </w:rPr>
      </w:pPr>
    </w:p>
    <w:p w:rsidR="0075323F" w:rsidRPr="007A501A" w:rsidRDefault="0075323F" w:rsidP="007A501A">
      <w:pPr>
        <w:pStyle w:val="Paragrafoelenco"/>
        <w:numPr>
          <w:ilvl w:val="1"/>
          <w:numId w:val="2"/>
        </w:numPr>
        <w:ind w:left="567" w:right="566"/>
        <w:jc w:val="both"/>
        <w:rPr>
          <w:rFonts w:ascii="Arial" w:hAnsi="Arial" w:cs="Arial"/>
          <w:b/>
          <w:sz w:val="24"/>
          <w:szCs w:val="24"/>
          <w:u w:val="single"/>
        </w:rPr>
      </w:pPr>
      <w:r w:rsidRPr="007A501A">
        <w:rPr>
          <w:rFonts w:ascii="Arial" w:hAnsi="Arial" w:cs="Arial"/>
          <w:b/>
          <w:sz w:val="24"/>
          <w:szCs w:val="24"/>
          <w:u w:val="single"/>
        </w:rPr>
        <w:t xml:space="preserve">Il consuntivo del 2° trimestre </w:t>
      </w:r>
      <w:r w:rsidR="005565EB" w:rsidRPr="007A501A">
        <w:rPr>
          <w:rFonts w:ascii="Arial" w:hAnsi="Arial" w:cs="Arial"/>
          <w:b/>
          <w:sz w:val="24"/>
          <w:szCs w:val="24"/>
          <w:u w:val="single"/>
        </w:rPr>
        <w:t>2016</w:t>
      </w:r>
    </w:p>
    <w:p w:rsidR="0075323F" w:rsidRPr="007A501A" w:rsidRDefault="0075323F" w:rsidP="007A501A">
      <w:pPr>
        <w:pStyle w:val="Paragrafoelenco"/>
        <w:ind w:left="567" w:right="566"/>
        <w:jc w:val="both"/>
        <w:rPr>
          <w:rFonts w:ascii="Arial" w:hAnsi="Arial" w:cs="Arial"/>
          <w:sz w:val="24"/>
          <w:szCs w:val="24"/>
        </w:rPr>
      </w:pPr>
    </w:p>
    <w:p w:rsidR="0075323F" w:rsidRPr="007A501A" w:rsidRDefault="0075323F" w:rsidP="007A501A">
      <w:pPr>
        <w:pStyle w:val="Paragrafoelenco"/>
        <w:ind w:left="567" w:right="566"/>
        <w:jc w:val="both"/>
        <w:rPr>
          <w:rFonts w:ascii="Arial" w:hAnsi="Arial" w:cs="Arial"/>
          <w:sz w:val="24"/>
          <w:szCs w:val="24"/>
        </w:rPr>
      </w:pPr>
      <w:r w:rsidRPr="007A501A">
        <w:rPr>
          <w:rFonts w:ascii="Arial" w:hAnsi="Arial" w:cs="Arial"/>
          <w:sz w:val="24"/>
          <w:szCs w:val="24"/>
        </w:rPr>
        <w:t xml:space="preserve">La Confindustria Friuli Venezia Giulia, con la collaborazione delle federate </w:t>
      </w:r>
      <w:r w:rsidR="00161AEA" w:rsidRPr="007A501A">
        <w:rPr>
          <w:rFonts w:ascii="Arial" w:hAnsi="Arial" w:cs="Arial"/>
          <w:sz w:val="24"/>
          <w:szCs w:val="24"/>
        </w:rPr>
        <w:t>Confindustrie</w:t>
      </w:r>
      <w:r w:rsidRPr="007A501A">
        <w:rPr>
          <w:rFonts w:ascii="Arial" w:hAnsi="Arial" w:cs="Arial"/>
          <w:sz w:val="24"/>
          <w:szCs w:val="24"/>
        </w:rPr>
        <w:t xml:space="preserve"> territoriali di Pordenone, Udine e Venezia Giulia, effettua l’indagine congiunturale trimestrale sulla base dei dati forniti da un significativo campione</w:t>
      </w:r>
      <w:r w:rsidR="002673E1" w:rsidRPr="007A501A">
        <w:rPr>
          <w:rFonts w:ascii="Arial" w:hAnsi="Arial" w:cs="Arial"/>
          <w:sz w:val="24"/>
          <w:szCs w:val="24"/>
        </w:rPr>
        <w:t xml:space="preserve"> di imprese manifatturiere associate al sistema confederale nelle quattro province della regione.</w:t>
      </w:r>
    </w:p>
    <w:p w:rsidR="00B95F95" w:rsidRPr="007A501A" w:rsidRDefault="00B95F95" w:rsidP="007A501A">
      <w:pPr>
        <w:pStyle w:val="Paragrafoelenco"/>
        <w:ind w:left="567" w:right="566"/>
        <w:jc w:val="both"/>
        <w:rPr>
          <w:rFonts w:ascii="Arial" w:hAnsi="Arial" w:cs="Arial"/>
          <w:sz w:val="24"/>
          <w:szCs w:val="24"/>
        </w:rPr>
      </w:pPr>
      <w:r w:rsidRPr="007A501A">
        <w:rPr>
          <w:rFonts w:ascii="Arial" w:hAnsi="Arial" w:cs="Arial"/>
          <w:sz w:val="24"/>
          <w:szCs w:val="24"/>
        </w:rPr>
        <w:t>L’elaborazione dei dati raccolti ha fornito dei risultati che, in sintesi, risultano caratterizzati da un generale miglioramento degli indicatori congiunturali, che paragonano il trimestre in esame con quello precedente, mentre gli indicatori tendenziali</w:t>
      </w:r>
      <w:r w:rsidR="006B6C19" w:rsidRPr="007A501A">
        <w:rPr>
          <w:rFonts w:ascii="Arial" w:hAnsi="Arial" w:cs="Arial"/>
          <w:sz w:val="24"/>
          <w:szCs w:val="24"/>
        </w:rPr>
        <w:t>, che mostrano le variazioni rispetto allo stesso trimestre dell’anno scorso, risultano orientati ad una sostanziale stabilità con qualche leggera flessione in negativo.</w:t>
      </w:r>
    </w:p>
    <w:p w:rsidR="006B6C19" w:rsidRPr="007A501A" w:rsidRDefault="006B6C19" w:rsidP="007A501A">
      <w:pPr>
        <w:pStyle w:val="Paragrafoelenco"/>
        <w:ind w:left="567" w:right="566"/>
        <w:jc w:val="both"/>
        <w:rPr>
          <w:rFonts w:ascii="Arial" w:hAnsi="Arial" w:cs="Arial"/>
          <w:sz w:val="24"/>
          <w:szCs w:val="24"/>
        </w:rPr>
      </w:pPr>
      <w:r w:rsidRPr="007A501A">
        <w:rPr>
          <w:rFonts w:ascii="Arial" w:hAnsi="Arial" w:cs="Arial"/>
          <w:sz w:val="24"/>
          <w:szCs w:val="24"/>
        </w:rPr>
        <w:t xml:space="preserve">Si può, quindi, concludere che </w:t>
      </w:r>
      <w:r w:rsidR="00F24D03" w:rsidRPr="007A501A">
        <w:rPr>
          <w:rFonts w:ascii="Arial" w:hAnsi="Arial" w:cs="Arial"/>
          <w:sz w:val="24"/>
          <w:szCs w:val="24"/>
        </w:rPr>
        <w:t xml:space="preserve">nel secondo trimestre l’attività dell’industria regionale ha ben recuperato la flessione che aveva subito nei primi mesi del 2016, ma senza riuscire a migliorare le performance registrate a giugno del 2015. </w:t>
      </w:r>
      <w:r w:rsidR="002E326A" w:rsidRPr="007A501A">
        <w:rPr>
          <w:rFonts w:ascii="Arial" w:hAnsi="Arial" w:cs="Arial"/>
          <w:sz w:val="24"/>
          <w:szCs w:val="24"/>
        </w:rPr>
        <w:t>La lenta crescita, iniziata attorno alla fine del 2014</w:t>
      </w:r>
      <w:r w:rsidR="001A400E" w:rsidRPr="007A501A">
        <w:rPr>
          <w:rFonts w:ascii="Arial" w:hAnsi="Arial" w:cs="Arial"/>
          <w:sz w:val="24"/>
          <w:szCs w:val="24"/>
        </w:rPr>
        <w:t>,</w:t>
      </w:r>
      <w:r w:rsidR="002E326A" w:rsidRPr="007A501A">
        <w:rPr>
          <w:rFonts w:ascii="Arial" w:hAnsi="Arial" w:cs="Arial"/>
          <w:sz w:val="24"/>
          <w:szCs w:val="24"/>
        </w:rPr>
        <w:t xml:space="preserve"> sembra aver raggiunto una fase di assestamento. Assestamento che essendo</w:t>
      </w:r>
      <w:r w:rsidR="00483E10" w:rsidRPr="007A501A">
        <w:rPr>
          <w:rFonts w:ascii="Arial" w:hAnsi="Arial" w:cs="Arial"/>
          <w:sz w:val="24"/>
          <w:szCs w:val="24"/>
        </w:rPr>
        <w:t xml:space="preserve"> sotto</w:t>
      </w:r>
      <w:r w:rsidR="002E326A" w:rsidRPr="007A501A">
        <w:rPr>
          <w:rFonts w:ascii="Arial" w:hAnsi="Arial" w:cs="Arial"/>
          <w:sz w:val="24"/>
          <w:szCs w:val="24"/>
        </w:rPr>
        <w:t xml:space="preserve"> </w:t>
      </w:r>
      <w:r w:rsidR="00770669" w:rsidRPr="007A501A">
        <w:rPr>
          <w:rFonts w:ascii="Arial" w:hAnsi="Arial" w:cs="Arial"/>
          <w:sz w:val="24"/>
          <w:szCs w:val="24"/>
        </w:rPr>
        <w:t xml:space="preserve">e </w:t>
      </w:r>
      <w:r w:rsidR="002E326A" w:rsidRPr="007A501A">
        <w:rPr>
          <w:rFonts w:ascii="Arial" w:hAnsi="Arial" w:cs="Arial"/>
          <w:sz w:val="24"/>
          <w:szCs w:val="24"/>
        </w:rPr>
        <w:t xml:space="preserve">ben lontano dai livelli </w:t>
      </w:r>
      <w:proofErr w:type="spellStart"/>
      <w:r w:rsidR="002E326A" w:rsidRPr="007A501A">
        <w:rPr>
          <w:rFonts w:ascii="Arial" w:hAnsi="Arial" w:cs="Arial"/>
          <w:sz w:val="24"/>
          <w:szCs w:val="24"/>
        </w:rPr>
        <w:t>pre</w:t>
      </w:r>
      <w:proofErr w:type="spellEnd"/>
      <w:r w:rsidR="001A400E" w:rsidRPr="007A501A">
        <w:rPr>
          <w:rFonts w:ascii="Arial" w:hAnsi="Arial" w:cs="Arial"/>
          <w:sz w:val="24"/>
          <w:szCs w:val="24"/>
        </w:rPr>
        <w:t>-</w:t>
      </w:r>
      <w:r w:rsidR="002E326A" w:rsidRPr="007A501A">
        <w:rPr>
          <w:rFonts w:ascii="Arial" w:hAnsi="Arial" w:cs="Arial"/>
          <w:sz w:val="24"/>
          <w:szCs w:val="24"/>
        </w:rPr>
        <w:t xml:space="preserve"> crisi non può</w:t>
      </w:r>
      <w:r w:rsidR="000A61B8" w:rsidRPr="007A501A">
        <w:rPr>
          <w:rFonts w:ascii="Arial" w:hAnsi="Arial" w:cs="Arial"/>
          <w:sz w:val="24"/>
          <w:szCs w:val="24"/>
        </w:rPr>
        <w:t xml:space="preserve"> </w:t>
      </w:r>
      <w:r w:rsidR="002E326A" w:rsidRPr="007A501A">
        <w:rPr>
          <w:rFonts w:ascii="Arial" w:hAnsi="Arial" w:cs="Arial"/>
          <w:sz w:val="24"/>
          <w:szCs w:val="24"/>
        </w:rPr>
        <w:t>ce</w:t>
      </w:r>
      <w:r w:rsidR="000A61B8" w:rsidRPr="007A501A">
        <w:rPr>
          <w:rFonts w:ascii="Arial" w:hAnsi="Arial" w:cs="Arial"/>
          <w:sz w:val="24"/>
          <w:szCs w:val="24"/>
        </w:rPr>
        <w:t>r</w:t>
      </w:r>
      <w:r w:rsidR="002E326A" w:rsidRPr="007A501A">
        <w:rPr>
          <w:rFonts w:ascii="Arial" w:hAnsi="Arial" w:cs="Arial"/>
          <w:sz w:val="24"/>
          <w:szCs w:val="24"/>
        </w:rPr>
        <w:t xml:space="preserve">tamente essere considerato positivo. </w:t>
      </w:r>
    </w:p>
    <w:p w:rsidR="00A55481" w:rsidRPr="007A501A" w:rsidRDefault="00A55481" w:rsidP="007A501A">
      <w:pPr>
        <w:pStyle w:val="Paragrafoelenco"/>
        <w:ind w:left="567" w:right="566"/>
        <w:jc w:val="both"/>
        <w:rPr>
          <w:rFonts w:ascii="Arial" w:hAnsi="Arial" w:cs="Arial"/>
          <w:sz w:val="24"/>
          <w:szCs w:val="24"/>
        </w:rPr>
      </w:pPr>
    </w:p>
    <w:p w:rsidR="00A55481" w:rsidRPr="007A501A" w:rsidRDefault="00A55481" w:rsidP="007A501A">
      <w:pPr>
        <w:pStyle w:val="Paragrafoelenco"/>
        <w:ind w:left="567" w:right="566"/>
        <w:jc w:val="both"/>
        <w:rPr>
          <w:rFonts w:ascii="Arial" w:hAnsi="Arial" w:cs="Arial"/>
          <w:sz w:val="24"/>
          <w:szCs w:val="24"/>
        </w:rPr>
      </w:pPr>
      <w:r w:rsidRPr="007A501A">
        <w:rPr>
          <w:rFonts w:ascii="Arial" w:hAnsi="Arial" w:cs="Arial"/>
          <w:sz w:val="24"/>
          <w:szCs w:val="24"/>
        </w:rPr>
        <w:t xml:space="preserve">L’esame dettagliato dei valori assunti dai </w:t>
      </w:r>
      <w:r w:rsidRPr="007A501A">
        <w:rPr>
          <w:rFonts w:ascii="Arial" w:hAnsi="Arial" w:cs="Arial"/>
          <w:b/>
          <w:sz w:val="24"/>
          <w:szCs w:val="24"/>
          <w:u w:val="single"/>
        </w:rPr>
        <w:t>principali indicatori</w:t>
      </w:r>
      <w:r w:rsidRPr="007A501A">
        <w:rPr>
          <w:rFonts w:ascii="Arial" w:hAnsi="Arial" w:cs="Arial"/>
          <w:sz w:val="24"/>
          <w:szCs w:val="24"/>
        </w:rPr>
        <w:t xml:space="preserve"> </w:t>
      </w:r>
      <w:r w:rsidR="00161AEA" w:rsidRPr="007A501A">
        <w:rPr>
          <w:rFonts w:ascii="Arial" w:hAnsi="Arial" w:cs="Arial"/>
          <w:b/>
          <w:sz w:val="24"/>
          <w:szCs w:val="24"/>
          <w:u w:val="single"/>
        </w:rPr>
        <w:t>congiunturali</w:t>
      </w:r>
      <w:r w:rsidR="00161AEA" w:rsidRPr="007A501A">
        <w:rPr>
          <w:rFonts w:ascii="Arial" w:hAnsi="Arial" w:cs="Arial"/>
          <w:b/>
          <w:sz w:val="24"/>
          <w:szCs w:val="24"/>
        </w:rPr>
        <w:t xml:space="preserve"> </w:t>
      </w:r>
      <w:r w:rsidRPr="007A501A">
        <w:rPr>
          <w:rFonts w:ascii="Arial" w:hAnsi="Arial" w:cs="Arial"/>
          <w:sz w:val="24"/>
          <w:szCs w:val="24"/>
        </w:rPr>
        <w:t>evidenzia che nel secondo trimestre 2016, messo a paragone con il trimestre precedente:</w:t>
      </w:r>
    </w:p>
    <w:p w:rsidR="00A55481" w:rsidRPr="007A501A" w:rsidRDefault="00161AEA" w:rsidP="007A501A">
      <w:pPr>
        <w:pStyle w:val="Paragrafoelenco"/>
        <w:ind w:left="567" w:right="566"/>
        <w:jc w:val="both"/>
        <w:rPr>
          <w:rFonts w:ascii="Arial" w:hAnsi="Arial" w:cs="Arial"/>
          <w:sz w:val="24"/>
          <w:szCs w:val="24"/>
        </w:rPr>
      </w:pPr>
      <w:r w:rsidRPr="007A501A">
        <w:rPr>
          <w:rFonts w:ascii="Arial" w:hAnsi="Arial" w:cs="Arial"/>
          <w:sz w:val="24"/>
          <w:szCs w:val="24"/>
        </w:rPr>
        <w:t>La</w:t>
      </w:r>
      <w:r w:rsidR="00A55481" w:rsidRPr="007A501A">
        <w:rPr>
          <w:rFonts w:ascii="Arial" w:hAnsi="Arial" w:cs="Arial"/>
          <w:sz w:val="24"/>
          <w:szCs w:val="24"/>
        </w:rPr>
        <w:t xml:space="preserve"> </w:t>
      </w:r>
      <w:r w:rsidR="00A55481" w:rsidRPr="007A501A">
        <w:rPr>
          <w:rFonts w:ascii="Arial" w:hAnsi="Arial" w:cs="Arial"/>
          <w:b/>
          <w:sz w:val="24"/>
          <w:szCs w:val="24"/>
        </w:rPr>
        <w:t>PRODUZIONE</w:t>
      </w:r>
      <w:r w:rsidRPr="007A501A">
        <w:rPr>
          <w:rFonts w:ascii="Arial" w:hAnsi="Arial" w:cs="Arial"/>
          <w:sz w:val="24"/>
          <w:szCs w:val="24"/>
        </w:rPr>
        <w:t xml:space="preserve"> </w:t>
      </w:r>
      <w:r w:rsidR="00A55481" w:rsidRPr="007A501A">
        <w:rPr>
          <w:rFonts w:ascii="Arial" w:hAnsi="Arial" w:cs="Arial"/>
          <w:sz w:val="24"/>
          <w:szCs w:val="24"/>
        </w:rPr>
        <w:t>industriale torna positiva e migliora sensibilmente salendo da</w:t>
      </w:r>
      <w:r w:rsidRPr="007A501A">
        <w:rPr>
          <w:rFonts w:ascii="Arial" w:hAnsi="Arial" w:cs="Arial"/>
          <w:sz w:val="24"/>
          <w:szCs w:val="24"/>
        </w:rPr>
        <w:t>l precedente valore di -3,3% a</w:t>
      </w:r>
      <w:r w:rsidR="00A55481" w:rsidRPr="007A501A">
        <w:rPr>
          <w:rFonts w:ascii="Arial" w:hAnsi="Arial" w:cs="Arial"/>
          <w:sz w:val="24"/>
          <w:szCs w:val="24"/>
        </w:rPr>
        <w:t xml:space="preserve"> +2,8%.</w:t>
      </w:r>
    </w:p>
    <w:p w:rsidR="00A55481" w:rsidRPr="007A501A" w:rsidRDefault="00A55481" w:rsidP="007A501A">
      <w:pPr>
        <w:pStyle w:val="Paragrafoelenco"/>
        <w:ind w:left="567" w:right="566"/>
        <w:jc w:val="both"/>
        <w:rPr>
          <w:rFonts w:ascii="Arial" w:hAnsi="Arial" w:cs="Arial"/>
          <w:sz w:val="24"/>
          <w:szCs w:val="24"/>
        </w:rPr>
      </w:pPr>
      <w:r w:rsidRPr="007A501A">
        <w:rPr>
          <w:rFonts w:ascii="Arial" w:hAnsi="Arial" w:cs="Arial"/>
          <w:sz w:val="24"/>
          <w:szCs w:val="24"/>
        </w:rPr>
        <w:t xml:space="preserve">Anche le vendite salgono sopra lo zero sia sul mercato interno che nelle esportazioni. In particolare </w:t>
      </w:r>
      <w:r w:rsidR="00335B7C" w:rsidRPr="007A501A">
        <w:rPr>
          <w:rFonts w:ascii="Arial" w:hAnsi="Arial" w:cs="Arial"/>
          <w:sz w:val="24"/>
          <w:szCs w:val="24"/>
        </w:rPr>
        <w:t>il TOTALE</w:t>
      </w:r>
      <w:r w:rsidRPr="007A501A">
        <w:rPr>
          <w:rFonts w:ascii="Arial" w:hAnsi="Arial" w:cs="Arial"/>
          <w:b/>
          <w:sz w:val="24"/>
          <w:szCs w:val="24"/>
        </w:rPr>
        <w:t xml:space="preserve"> </w:t>
      </w:r>
      <w:r w:rsidR="00335B7C" w:rsidRPr="007A501A">
        <w:rPr>
          <w:rFonts w:ascii="Arial" w:hAnsi="Arial" w:cs="Arial"/>
          <w:b/>
          <w:sz w:val="24"/>
          <w:szCs w:val="24"/>
        </w:rPr>
        <w:t>VENDITE</w:t>
      </w:r>
      <w:r w:rsidR="00335B7C" w:rsidRPr="007A501A">
        <w:rPr>
          <w:rFonts w:ascii="Arial" w:hAnsi="Arial" w:cs="Arial"/>
          <w:sz w:val="24"/>
          <w:szCs w:val="24"/>
        </w:rPr>
        <w:t xml:space="preserve"> guadagna</w:t>
      </w:r>
      <w:r w:rsidRPr="007A501A">
        <w:rPr>
          <w:rFonts w:ascii="Arial" w:hAnsi="Arial" w:cs="Arial"/>
          <w:sz w:val="24"/>
          <w:szCs w:val="24"/>
        </w:rPr>
        <w:t xml:space="preserve"> circa sette punti percentuali assestandosi a </w:t>
      </w:r>
      <w:r w:rsidR="00335B7C" w:rsidRPr="007A501A">
        <w:rPr>
          <w:rFonts w:ascii="Arial" w:hAnsi="Arial" w:cs="Arial"/>
          <w:sz w:val="24"/>
          <w:szCs w:val="24"/>
        </w:rPr>
        <w:t>+4,4%</w:t>
      </w:r>
      <w:r w:rsidRPr="007A501A">
        <w:rPr>
          <w:rFonts w:ascii="Arial" w:hAnsi="Arial" w:cs="Arial"/>
          <w:sz w:val="24"/>
          <w:szCs w:val="24"/>
        </w:rPr>
        <w:t xml:space="preserve">, grazie ai buoni risultati delle </w:t>
      </w:r>
      <w:r w:rsidRPr="007A501A">
        <w:rPr>
          <w:rFonts w:ascii="Arial" w:hAnsi="Arial" w:cs="Arial"/>
          <w:b/>
          <w:sz w:val="24"/>
          <w:szCs w:val="24"/>
        </w:rPr>
        <w:t>VENDITE ITALIA</w:t>
      </w:r>
      <w:r w:rsidRPr="007A501A">
        <w:rPr>
          <w:rFonts w:ascii="Arial" w:hAnsi="Arial" w:cs="Arial"/>
          <w:sz w:val="24"/>
          <w:szCs w:val="24"/>
        </w:rPr>
        <w:t xml:space="preserve"> che salgono da -1,3% a +4,2%</w:t>
      </w:r>
      <w:r w:rsidR="008668FD" w:rsidRPr="007A501A">
        <w:rPr>
          <w:rFonts w:ascii="Arial" w:hAnsi="Arial" w:cs="Arial"/>
          <w:sz w:val="24"/>
          <w:szCs w:val="24"/>
        </w:rPr>
        <w:t xml:space="preserve"> e delle </w:t>
      </w:r>
      <w:r w:rsidR="008668FD" w:rsidRPr="007A501A">
        <w:rPr>
          <w:rFonts w:ascii="Arial" w:hAnsi="Arial" w:cs="Arial"/>
          <w:b/>
          <w:sz w:val="24"/>
          <w:szCs w:val="24"/>
        </w:rPr>
        <w:t>VENDITE ESTERO</w:t>
      </w:r>
      <w:r w:rsidR="00F0579B" w:rsidRPr="007A501A">
        <w:rPr>
          <w:rFonts w:ascii="Arial" w:hAnsi="Arial" w:cs="Arial"/>
          <w:sz w:val="24"/>
          <w:szCs w:val="24"/>
        </w:rPr>
        <w:t xml:space="preserve"> che passano dal -5,4% a </w:t>
      </w:r>
      <w:r w:rsidR="008668FD" w:rsidRPr="007A501A">
        <w:rPr>
          <w:rFonts w:ascii="Arial" w:hAnsi="Arial" w:cs="Arial"/>
          <w:sz w:val="24"/>
          <w:szCs w:val="24"/>
        </w:rPr>
        <w:t>4,6%.</w:t>
      </w:r>
    </w:p>
    <w:p w:rsidR="008668FD" w:rsidRPr="007A501A" w:rsidRDefault="00161AEA" w:rsidP="007A501A">
      <w:pPr>
        <w:pStyle w:val="Paragrafoelenco"/>
        <w:ind w:left="567" w:right="566"/>
        <w:jc w:val="both"/>
        <w:rPr>
          <w:rFonts w:ascii="Arial" w:hAnsi="Arial" w:cs="Arial"/>
          <w:sz w:val="24"/>
          <w:szCs w:val="24"/>
        </w:rPr>
      </w:pPr>
      <w:r w:rsidRPr="007A501A">
        <w:rPr>
          <w:rFonts w:ascii="Arial" w:hAnsi="Arial" w:cs="Arial"/>
          <w:sz w:val="24"/>
          <w:szCs w:val="24"/>
        </w:rPr>
        <w:t>Solo l’</w:t>
      </w:r>
      <w:r w:rsidR="008668FD" w:rsidRPr="007A501A">
        <w:rPr>
          <w:rFonts w:ascii="Arial" w:hAnsi="Arial" w:cs="Arial"/>
          <w:b/>
          <w:sz w:val="24"/>
          <w:szCs w:val="24"/>
        </w:rPr>
        <w:t>OCCUPAZIONE</w:t>
      </w:r>
      <w:r w:rsidR="008668FD" w:rsidRPr="007A501A">
        <w:rPr>
          <w:rFonts w:ascii="Arial" w:hAnsi="Arial" w:cs="Arial"/>
          <w:sz w:val="24"/>
          <w:szCs w:val="24"/>
        </w:rPr>
        <w:t xml:space="preserve"> subisce un leggero calo, ma rimane positiva a</w:t>
      </w:r>
      <w:r w:rsidR="009B2E65" w:rsidRPr="007A501A">
        <w:rPr>
          <w:rFonts w:ascii="Arial" w:hAnsi="Arial" w:cs="Arial"/>
          <w:sz w:val="24"/>
          <w:szCs w:val="24"/>
        </w:rPr>
        <w:t xml:space="preserve"> +0,3%</w:t>
      </w:r>
      <w:r w:rsidR="008668FD" w:rsidRPr="007A501A">
        <w:rPr>
          <w:rFonts w:ascii="Arial" w:hAnsi="Arial" w:cs="Arial"/>
          <w:sz w:val="24"/>
          <w:szCs w:val="24"/>
        </w:rPr>
        <w:t>.</w:t>
      </w:r>
    </w:p>
    <w:p w:rsidR="009B2E65" w:rsidRPr="007A501A" w:rsidRDefault="009B2E65" w:rsidP="007A501A">
      <w:pPr>
        <w:pStyle w:val="Paragrafoelenco"/>
        <w:ind w:left="567" w:right="566"/>
        <w:jc w:val="both"/>
        <w:rPr>
          <w:rFonts w:ascii="Arial" w:hAnsi="Arial" w:cs="Arial"/>
          <w:sz w:val="24"/>
          <w:szCs w:val="24"/>
        </w:rPr>
      </w:pPr>
    </w:p>
    <w:p w:rsidR="008668FD" w:rsidRPr="007A501A" w:rsidRDefault="008668FD" w:rsidP="007A501A">
      <w:pPr>
        <w:pStyle w:val="Paragrafoelenco"/>
        <w:ind w:left="567" w:right="566"/>
        <w:jc w:val="both"/>
        <w:rPr>
          <w:rFonts w:ascii="Arial" w:hAnsi="Arial" w:cs="Arial"/>
          <w:sz w:val="24"/>
          <w:szCs w:val="24"/>
        </w:rPr>
      </w:pPr>
      <w:r w:rsidRPr="007A501A">
        <w:rPr>
          <w:rFonts w:ascii="Arial" w:hAnsi="Arial" w:cs="Arial"/>
          <w:sz w:val="24"/>
          <w:szCs w:val="24"/>
        </w:rPr>
        <w:t xml:space="preserve">L’esame dei </w:t>
      </w:r>
      <w:r w:rsidRPr="007A501A">
        <w:rPr>
          <w:rFonts w:ascii="Arial" w:hAnsi="Arial" w:cs="Arial"/>
          <w:b/>
          <w:sz w:val="24"/>
          <w:szCs w:val="24"/>
          <w:u w:val="single"/>
        </w:rPr>
        <w:t>principali indicatori tendenziali</w:t>
      </w:r>
      <w:r w:rsidRPr="007A501A">
        <w:rPr>
          <w:rFonts w:ascii="Arial" w:hAnsi="Arial" w:cs="Arial"/>
          <w:sz w:val="24"/>
          <w:szCs w:val="24"/>
        </w:rPr>
        <w:t xml:space="preserve"> mette in evidenza che nel secondo trimestre 2016, confrontato con lo stesso trimestre del 2015:</w:t>
      </w:r>
    </w:p>
    <w:p w:rsidR="008668FD" w:rsidRPr="007A501A" w:rsidRDefault="00161AEA" w:rsidP="007A501A">
      <w:pPr>
        <w:pStyle w:val="Paragrafoelenco"/>
        <w:ind w:left="567" w:right="566"/>
        <w:jc w:val="both"/>
        <w:rPr>
          <w:rFonts w:ascii="Arial" w:hAnsi="Arial" w:cs="Arial"/>
          <w:sz w:val="24"/>
          <w:szCs w:val="24"/>
        </w:rPr>
      </w:pPr>
      <w:r w:rsidRPr="007A501A">
        <w:rPr>
          <w:rFonts w:ascii="Arial" w:hAnsi="Arial" w:cs="Arial"/>
          <w:sz w:val="24"/>
          <w:szCs w:val="24"/>
        </w:rPr>
        <w:t>La</w:t>
      </w:r>
      <w:r w:rsidR="008668FD" w:rsidRPr="007A501A">
        <w:rPr>
          <w:rFonts w:ascii="Arial" w:hAnsi="Arial" w:cs="Arial"/>
          <w:sz w:val="24"/>
          <w:szCs w:val="24"/>
        </w:rPr>
        <w:t xml:space="preserve"> </w:t>
      </w:r>
      <w:r w:rsidR="008668FD" w:rsidRPr="007A501A">
        <w:rPr>
          <w:rFonts w:ascii="Arial" w:hAnsi="Arial" w:cs="Arial"/>
          <w:b/>
          <w:sz w:val="24"/>
          <w:szCs w:val="24"/>
        </w:rPr>
        <w:t>PRODUZIONE</w:t>
      </w:r>
      <w:r w:rsidR="008668FD" w:rsidRPr="007A501A">
        <w:rPr>
          <w:rFonts w:ascii="Arial" w:hAnsi="Arial" w:cs="Arial"/>
          <w:sz w:val="24"/>
          <w:szCs w:val="24"/>
        </w:rPr>
        <w:t xml:space="preserve"> industriale presenta una lieve flessione scendendo da un valore leggermente positivo (+0,1%) a -1,5%.</w:t>
      </w:r>
    </w:p>
    <w:p w:rsidR="00FB3078" w:rsidRDefault="00FB3078" w:rsidP="007A501A">
      <w:pPr>
        <w:pStyle w:val="Paragrafoelenco"/>
        <w:ind w:left="567" w:right="566"/>
        <w:jc w:val="both"/>
        <w:rPr>
          <w:rFonts w:ascii="Arial" w:hAnsi="Arial" w:cs="Arial"/>
          <w:sz w:val="24"/>
          <w:szCs w:val="24"/>
        </w:rPr>
      </w:pPr>
    </w:p>
    <w:p w:rsidR="00FB3078" w:rsidRDefault="00FB3078" w:rsidP="007A501A">
      <w:pPr>
        <w:pStyle w:val="Paragrafoelenco"/>
        <w:ind w:left="567" w:right="566"/>
        <w:jc w:val="both"/>
        <w:rPr>
          <w:rFonts w:ascii="Arial" w:hAnsi="Arial" w:cs="Arial"/>
          <w:sz w:val="24"/>
          <w:szCs w:val="24"/>
        </w:rPr>
      </w:pPr>
    </w:p>
    <w:p w:rsidR="00B123E0" w:rsidRDefault="00B123E0" w:rsidP="007A501A">
      <w:pPr>
        <w:pStyle w:val="Paragrafoelenco"/>
        <w:ind w:left="567" w:right="566"/>
        <w:jc w:val="both"/>
        <w:rPr>
          <w:rFonts w:ascii="Arial" w:hAnsi="Arial" w:cs="Arial"/>
          <w:sz w:val="24"/>
          <w:szCs w:val="24"/>
        </w:rPr>
      </w:pPr>
    </w:p>
    <w:p w:rsidR="008668FD" w:rsidRPr="007A501A" w:rsidRDefault="00E54401" w:rsidP="007A501A">
      <w:pPr>
        <w:pStyle w:val="Paragrafoelenco"/>
        <w:ind w:left="567" w:right="566"/>
        <w:jc w:val="both"/>
        <w:rPr>
          <w:rFonts w:ascii="Arial" w:hAnsi="Arial" w:cs="Arial"/>
          <w:sz w:val="24"/>
          <w:szCs w:val="24"/>
        </w:rPr>
      </w:pPr>
      <w:bookmarkStart w:id="0" w:name="_GoBack"/>
      <w:bookmarkEnd w:id="0"/>
      <w:r w:rsidRPr="007A501A">
        <w:rPr>
          <w:rFonts w:ascii="Arial" w:hAnsi="Arial" w:cs="Arial"/>
          <w:sz w:val="24"/>
          <w:szCs w:val="24"/>
        </w:rPr>
        <w:t>Anche le vendite, nel complesso, risultano in leggera flessione portandosi dai</w:t>
      </w:r>
      <w:r w:rsidR="001A400E" w:rsidRPr="007A501A">
        <w:rPr>
          <w:rFonts w:ascii="Arial" w:hAnsi="Arial" w:cs="Arial"/>
          <w:sz w:val="24"/>
          <w:szCs w:val="24"/>
        </w:rPr>
        <w:t xml:space="preserve"> livelli timida</w:t>
      </w:r>
      <w:r w:rsidRPr="007A501A">
        <w:rPr>
          <w:rFonts w:ascii="Arial" w:hAnsi="Arial" w:cs="Arial"/>
          <w:sz w:val="24"/>
          <w:szCs w:val="24"/>
        </w:rPr>
        <w:t xml:space="preserve">mente positivi di tre mesi fa a livelli pressoché analoghi a quelli di giugno 2015. In particolare il </w:t>
      </w:r>
      <w:r w:rsidRPr="007A501A">
        <w:rPr>
          <w:rFonts w:ascii="Arial" w:hAnsi="Arial" w:cs="Arial"/>
          <w:b/>
          <w:sz w:val="24"/>
          <w:szCs w:val="24"/>
        </w:rPr>
        <w:t>TOTALE</w:t>
      </w:r>
      <w:r w:rsidRPr="007A501A">
        <w:rPr>
          <w:rFonts w:ascii="Arial" w:hAnsi="Arial" w:cs="Arial"/>
          <w:sz w:val="24"/>
          <w:szCs w:val="24"/>
        </w:rPr>
        <w:t xml:space="preserve"> </w:t>
      </w:r>
      <w:r w:rsidRPr="007A501A">
        <w:rPr>
          <w:rFonts w:ascii="Arial" w:hAnsi="Arial" w:cs="Arial"/>
          <w:b/>
          <w:sz w:val="24"/>
          <w:szCs w:val="24"/>
        </w:rPr>
        <w:t>VENDITE</w:t>
      </w:r>
      <w:r w:rsidRPr="007A501A">
        <w:rPr>
          <w:rFonts w:ascii="Arial" w:hAnsi="Arial" w:cs="Arial"/>
          <w:sz w:val="24"/>
          <w:szCs w:val="24"/>
        </w:rPr>
        <w:t xml:space="preserve"> presenta una variazione nulla (0,0%) rispetto all’anno scorso, così come le </w:t>
      </w:r>
      <w:r w:rsidRPr="007A501A">
        <w:rPr>
          <w:rFonts w:ascii="Arial" w:hAnsi="Arial" w:cs="Arial"/>
          <w:b/>
          <w:sz w:val="24"/>
          <w:szCs w:val="24"/>
        </w:rPr>
        <w:t>VENDITE ITALIA</w:t>
      </w:r>
      <w:r w:rsidR="00E0012C" w:rsidRPr="007A501A">
        <w:rPr>
          <w:rFonts w:ascii="Arial" w:hAnsi="Arial" w:cs="Arial"/>
          <w:sz w:val="24"/>
          <w:szCs w:val="24"/>
        </w:rPr>
        <w:t>,</w:t>
      </w:r>
      <w:r w:rsidRPr="007A501A">
        <w:rPr>
          <w:rFonts w:ascii="Arial" w:hAnsi="Arial" w:cs="Arial"/>
          <w:sz w:val="24"/>
          <w:szCs w:val="24"/>
        </w:rPr>
        <w:t xml:space="preserve"> mentre le </w:t>
      </w:r>
      <w:r w:rsidRPr="007A501A">
        <w:rPr>
          <w:rFonts w:ascii="Arial" w:hAnsi="Arial" w:cs="Arial"/>
          <w:b/>
          <w:sz w:val="24"/>
          <w:szCs w:val="24"/>
        </w:rPr>
        <w:t>VEN</w:t>
      </w:r>
      <w:r w:rsidR="00E0012C" w:rsidRPr="007A501A">
        <w:rPr>
          <w:rFonts w:ascii="Arial" w:hAnsi="Arial" w:cs="Arial"/>
          <w:b/>
          <w:sz w:val="24"/>
          <w:szCs w:val="24"/>
        </w:rPr>
        <w:t>DITE ESTERO</w:t>
      </w:r>
      <w:r w:rsidR="00E0012C" w:rsidRPr="007A501A">
        <w:rPr>
          <w:rFonts w:ascii="Arial" w:hAnsi="Arial" w:cs="Arial"/>
          <w:sz w:val="24"/>
          <w:szCs w:val="24"/>
        </w:rPr>
        <w:t xml:space="preserve"> risultano di poco negative scendendo da +0,4% a -0,4%.</w:t>
      </w:r>
    </w:p>
    <w:p w:rsidR="00E0012C" w:rsidRPr="007A501A" w:rsidRDefault="00E0012C" w:rsidP="007A501A">
      <w:pPr>
        <w:pStyle w:val="Paragrafoelenco"/>
        <w:ind w:left="567" w:right="566"/>
        <w:jc w:val="both"/>
        <w:rPr>
          <w:rFonts w:ascii="Arial" w:hAnsi="Arial" w:cs="Arial"/>
          <w:sz w:val="24"/>
          <w:szCs w:val="24"/>
        </w:rPr>
      </w:pPr>
    </w:p>
    <w:p w:rsidR="00E0012C" w:rsidRPr="007A501A" w:rsidRDefault="00E0012C" w:rsidP="007A501A">
      <w:pPr>
        <w:pStyle w:val="Paragrafoelenco"/>
        <w:ind w:left="567" w:right="566"/>
        <w:jc w:val="both"/>
        <w:rPr>
          <w:rFonts w:ascii="Arial" w:hAnsi="Arial" w:cs="Arial"/>
          <w:sz w:val="24"/>
          <w:szCs w:val="24"/>
        </w:rPr>
      </w:pPr>
      <w:r w:rsidRPr="007A501A">
        <w:rPr>
          <w:rFonts w:ascii="Arial" w:hAnsi="Arial" w:cs="Arial"/>
          <w:sz w:val="24"/>
          <w:szCs w:val="24"/>
        </w:rPr>
        <w:t xml:space="preserve">Per quanto riguarda gli altri indicatori esaminati </w:t>
      </w:r>
      <w:r w:rsidR="00710DDD" w:rsidRPr="007A501A">
        <w:rPr>
          <w:rFonts w:ascii="Arial" w:hAnsi="Arial" w:cs="Arial"/>
          <w:sz w:val="24"/>
          <w:szCs w:val="24"/>
        </w:rPr>
        <w:t xml:space="preserve">è da rilevare che anche l’andamento dei </w:t>
      </w:r>
      <w:r w:rsidR="00710DDD" w:rsidRPr="007A501A">
        <w:rPr>
          <w:rFonts w:ascii="Arial" w:hAnsi="Arial" w:cs="Arial"/>
          <w:b/>
          <w:sz w:val="24"/>
          <w:szCs w:val="24"/>
        </w:rPr>
        <w:t>NUOVI ORDINI</w:t>
      </w:r>
      <w:r w:rsidR="00710DDD" w:rsidRPr="007A501A">
        <w:rPr>
          <w:rFonts w:ascii="Arial" w:hAnsi="Arial" w:cs="Arial"/>
          <w:sz w:val="24"/>
          <w:szCs w:val="24"/>
        </w:rPr>
        <w:t xml:space="preserve"> presenta le caratteristiche sopra evidenziate: un buon recupero di quasi tre punti percentuali nel confronto congiunturale (+2,9%) ed una flessione invece nel confronto tendenziale (da +2,6% a -0,3%).</w:t>
      </w:r>
    </w:p>
    <w:p w:rsidR="001E450A" w:rsidRPr="007A501A" w:rsidRDefault="001E450A" w:rsidP="007A501A">
      <w:pPr>
        <w:pStyle w:val="Paragrafoelenco"/>
        <w:ind w:left="567" w:right="566"/>
        <w:jc w:val="both"/>
        <w:rPr>
          <w:rFonts w:ascii="Arial" w:hAnsi="Arial" w:cs="Arial"/>
          <w:sz w:val="24"/>
          <w:szCs w:val="24"/>
        </w:rPr>
      </w:pPr>
    </w:p>
    <w:p w:rsidR="001E450A" w:rsidRPr="007A501A" w:rsidRDefault="001E450A" w:rsidP="007A501A">
      <w:pPr>
        <w:pStyle w:val="Paragrafoelenco"/>
        <w:ind w:left="567" w:right="566"/>
        <w:jc w:val="both"/>
        <w:rPr>
          <w:rFonts w:ascii="Arial" w:hAnsi="Arial" w:cs="Arial"/>
          <w:sz w:val="24"/>
          <w:szCs w:val="24"/>
        </w:rPr>
      </w:pPr>
    </w:p>
    <w:p w:rsidR="001E450A" w:rsidRPr="007A501A" w:rsidRDefault="001E450A" w:rsidP="007A501A">
      <w:pPr>
        <w:pStyle w:val="Paragrafoelenco"/>
        <w:numPr>
          <w:ilvl w:val="1"/>
          <w:numId w:val="3"/>
        </w:numPr>
        <w:ind w:left="567" w:right="566"/>
        <w:jc w:val="both"/>
        <w:rPr>
          <w:rFonts w:ascii="Arial" w:hAnsi="Arial" w:cs="Arial"/>
          <w:b/>
          <w:sz w:val="24"/>
          <w:szCs w:val="24"/>
          <w:u w:val="single"/>
        </w:rPr>
      </w:pPr>
      <w:r w:rsidRPr="007A501A">
        <w:rPr>
          <w:rFonts w:ascii="Arial" w:hAnsi="Arial" w:cs="Arial"/>
          <w:sz w:val="24"/>
          <w:szCs w:val="24"/>
        </w:rPr>
        <w:t xml:space="preserve">-  </w:t>
      </w:r>
      <w:r w:rsidRPr="007A501A">
        <w:rPr>
          <w:rFonts w:ascii="Arial" w:hAnsi="Arial" w:cs="Arial"/>
          <w:b/>
          <w:sz w:val="24"/>
          <w:szCs w:val="24"/>
          <w:u w:val="single"/>
        </w:rPr>
        <w:t xml:space="preserve">Le previsioni per il 3° trimestre 2016 </w:t>
      </w:r>
    </w:p>
    <w:p w:rsidR="001E450A" w:rsidRPr="007A501A" w:rsidRDefault="001E450A" w:rsidP="007A501A">
      <w:pPr>
        <w:pStyle w:val="Paragrafoelenco"/>
        <w:ind w:left="567" w:right="566"/>
        <w:jc w:val="both"/>
        <w:rPr>
          <w:rFonts w:ascii="Arial" w:hAnsi="Arial" w:cs="Arial"/>
          <w:b/>
          <w:sz w:val="24"/>
          <w:szCs w:val="24"/>
          <w:u w:val="single"/>
        </w:rPr>
      </w:pPr>
    </w:p>
    <w:p w:rsidR="001E450A" w:rsidRDefault="000F1BC3" w:rsidP="007A501A">
      <w:pPr>
        <w:pStyle w:val="Paragrafoelenco"/>
        <w:ind w:left="567" w:right="566"/>
        <w:jc w:val="both"/>
        <w:rPr>
          <w:rFonts w:ascii="Arial" w:hAnsi="Arial" w:cs="Arial"/>
          <w:sz w:val="24"/>
          <w:szCs w:val="24"/>
        </w:rPr>
      </w:pPr>
      <w:r w:rsidRPr="007A501A">
        <w:rPr>
          <w:rFonts w:ascii="Arial" w:hAnsi="Arial" w:cs="Arial"/>
          <w:sz w:val="24"/>
          <w:szCs w:val="24"/>
        </w:rPr>
        <w:t>Nelle</w:t>
      </w:r>
      <w:r w:rsidR="001E450A" w:rsidRPr="007A501A">
        <w:rPr>
          <w:rFonts w:ascii="Arial" w:hAnsi="Arial" w:cs="Arial"/>
          <w:sz w:val="24"/>
          <w:szCs w:val="24"/>
        </w:rPr>
        <w:t xml:space="preserve"> previsioni di breve periodo </w:t>
      </w:r>
      <w:r w:rsidRPr="007A501A">
        <w:rPr>
          <w:rFonts w:ascii="Arial" w:hAnsi="Arial" w:cs="Arial"/>
          <w:sz w:val="24"/>
          <w:szCs w:val="24"/>
        </w:rPr>
        <w:t>espresse dagli operatori intervistati prevale l’aspettativa di stabilità, ma orientata ad un leggero pessimismo. Infatti, mentre il 78% delle risposte prevede Stabile la Produzione e addirittura il 91% la Occupazione</w:t>
      </w:r>
      <w:r w:rsidR="00237632" w:rsidRPr="007A501A">
        <w:rPr>
          <w:rFonts w:ascii="Arial" w:hAnsi="Arial" w:cs="Arial"/>
          <w:sz w:val="24"/>
          <w:szCs w:val="24"/>
        </w:rPr>
        <w:t>, in tutti gli indicatori esaminati la previsione di Diminuzione supera, anche se di poco, quella di Aumento. Le previsioni meno favorevoli risultano quelle della Occupazione (8,2% per la diminuzione e solo il 2,7% per l’aumento) e della Domanda Interna (23,6% per la diminuzione e 17,7% per l’aumento).</w:t>
      </w:r>
    </w:p>
    <w:p w:rsidR="007A501A" w:rsidRDefault="007A501A" w:rsidP="007A501A">
      <w:pPr>
        <w:pStyle w:val="Paragrafoelenco"/>
        <w:ind w:left="567" w:right="566"/>
        <w:jc w:val="both"/>
        <w:rPr>
          <w:rFonts w:ascii="Arial" w:hAnsi="Arial" w:cs="Arial"/>
          <w:sz w:val="24"/>
          <w:szCs w:val="24"/>
        </w:rPr>
      </w:pPr>
    </w:p>
    <w:p w:rsidR="007A501A" w:rsidRDefault="007A501A" w:rsidP="007A501A">
      <w:pPr>
        <w:pStyle w:val="Paragrafoelenco"/>
        <w:ind w:left="567" w:right="566"/>
        <w:jc w:val="both"/>
        <w:rPr>
          <w:rFonts w:ascii="Arial" w:hAnsi="Arial" w:cs="Arial"/>
          <w:sz w:val="24"/>
          <w:szCs w:val="24"/>
        </w:rPr>
      </w:pPr>
    </w:p>
    <w:p w:rsidR="007A501A" w:rsidRPr="007A501A" w:rsidRDefault="007A501A" w:rsidP="007A501A">
      <w:pPr>
        <w:pStyle w:val="Paragrafoelenco"/>
        <w:ind w:left="567" w:right="566"/>
        <w:jc w:val="both"/>
        <w:rPr>
          <w:rFonts w:ascii="Arial" w:hAnsi="Arial" w:cs="Arial"/>
          <w:sz w:val="24"/>
          <w:szCs w:val="24"/>
        </w:rPr>
      </w:pPr>
      <w:r>
        <w:rPr>
          <w:rFonts w:ascii="Arial" w:hAnsi="Arial" w:cs="Arial"/>
          <w:sz w:val="24"/>
          <w:szCs w:val="24"/>
        </w:rPr>
        <w:t>Trieste, 3 agosto 2016</w:t>
      </w:r>
    </w:p>
    <w:sectPr w:rsidR="007A501A" w:rsidRPr="007A501A" w:rsidSect="00DE0B17">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771CD"/>
    <w:multiLevelType w:val="multilevel"/>
    <w:tmpl w:val="9BCC4D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9D06E2A"/>
    <w:multiLevelType w:val="multilevel"/>
    <w:tmpl w:val="203E52DE"/>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 w15:restartNumberingAfterBreak="0">
    <w:nsid w:val="76B957C5"/>
    <w:multiLevelType w:val="multilevel"/>
    <w:tmpl w:val="D29E6CBE"/>
    <w:lvl w:ilvl="0">
      <w:start w:val="1"/>
      <w:numFmt w:val="decimal"/>
      <w:lvlText w:val="%1"/>
      <w:lvlJc w:val="left"/>
      <w:pPr>
        <w:ind w:left="390" w:hanging="390"/>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670" w:hanging="2520"/>
      </w:pPr>
      <w:rPr>
        <w:rFonts w:hint="default"/>
      </w:rPr>
    </w:lvl>
    <w:lvl w:ilvl="8">
      <w:start w:val="1"/>
      <w:numFmt w:val="decimal"/>
      <w:lvlText w:val="%1.%2.%3.%4.%5.%6.%7.%8.%9"/>
      <w:lvlJc w:val="left"/>
      <w:pPr>
        <w:ind w:left="6120" w:hanging="25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3F"/>
    <w:rsid w:val="00032DF7"/>
    <w:rsid w:val="000A61B8"/>
    <w:rsid w:val="000F1BC3"/>
    <w:rsid w:val="00161AEA"/>
    <w:rsid w:val="001A400E"/>
    <w:rsid w:val="001A49D4"/>
    <w:rsid w:val="001E450A"/>
    <w:rsid w:val="00237632"/>
    <w:rsid w:val="002673E1"/>
    <w:rsid w:val="002E326A"/>
    <w:rsid w:val="00335B7C"/>
    <w:rsid w:val="003D5762"/>
    <w:rsid w:val="003E2E38"/>
    <w:rsid w:val="00483E10"/>
    <w:rsid w:val="005565EB"/>
    <w:rsid w:val="006B6C19"/>
    <w:rsid w:val="00710DDD"/>
    <w:rsid w:val="0075323F"/>
    <w:rsid w:val="00770669"/>
    <w:rsid w:val="007A501A"/>
    <w:rsid w:val="008668FD"/>
    <w:rsid w:val="008F5DA6"/>
    <w:rsid w:val="009B2E65"/>
    <w:rsid w:val="00A046F7"/>
    <w:rsid w:val="00A55481"/>
    <w:rsid w:val="00B123E0"/>
    <w:rsid w:val="00B95F95"/>
    <w:rsid w:val="00CC4FEA"/>
    <w:rsid w:val="00DE0B17"/>
    <w:rsid w:val="00E0012C"/>
    <w:rsid w:val="00E26A05"/>
    <w:rsid w:val="00E54401"/>
    <w:rsid w:val="00F0579B"/>
    <w:rsid w:val="00F24D03"/>
    <w:rsid w:val="00F8056C"/>
    <w:rsid w:val="00FB3078"/>
    <w:rsid w:val="00FF11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6CA7F-17B1-4695-AFD1-CB6D0238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46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5323F"/>
    <w:pPr>
      <w:ind w:left="720"/>
      <w:contextualSpacing/>
    </w:pPr>
  </w:style>
  <w:style w:type="paragraph" w:styleId="Testofumetto">
    <w:name w:val="Balloon Text"/>
    <w:basedOn w:val="Normale"/>
    <w:link w:val="TestofumettoCarattere"/>
    <w:uiPriority w:val="99"/>
    <w:semiHidden/>
    <w:unhideWhenUsed/>
    <w:rsid w:val="007A501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A50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531</Words>
  <Characters>3032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MARISA</cp:lastModifiedBy>
  <cp:revision>17</cp:revision>
  <cp:lastPrinted>2016-08-04T13:42:00Z</cp:lastPrinted>
  <dcterms:created xsi:type="dcterms:W3CDTF">2016-08-02T07:02:00Z</dcterms:created>
  <dcterms:modified xsi:type="dcterms:W3CDTF">2016-08-04T14:05:00Z</dcterms:modified>
</cp:coreProperties>
</file>